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FE" w:rsidRPr="00D103FE" w:rsidRDefault="00D103FE" w:rsidP="00D103FE">
      <w:pPr>
        <w:pStyle w:val="NormalWeb"/>
        <w:rPr>
          <w:lang w:val="es-ES"/>
        </w:rPr>
      </w:pPr>
      <w:bookmarkStart w:id="0" w:name="a6"/>
      <w:r w:rsidRPr="00D103FE">
        <w:rPr>
          <w:rStyle w:val="Textoennegrita"/>
          <w:color w:val="4C6F99"/>
          <w:lang w:val="es-ES"/>
        </w:rPr>
        <w:t>Artículo 6.</w:t>
      </w:r>
      <w:bookmarkEnd w:id="0"/>
      <w:r w:rsidRPr="00D103FE">
        <w:rPr>
          <w:lang w:val="es-ES"/>
        </w:rPr>
        <w:t xml:space="preserve"> Derechos de los ciudadanos.</w:t>
      </w:r>
    </w:p>
    <w:p w:rsidR="00D103FE" w:rsidRPr="00D103FE" w:rsidRDefault="00D103FE" w:rsidP="00D103FE">
      <w:pPr>
        <w:pStyle w:val="NormalWeb"/>
        <w:rPr>
          <w:lang w:val="es-ES"/>
        </w:rPr>
      </w:pPr>
      <w:r w:rsidRPr="00D103FE">
        <w:rPr>
          <w:lang w:val="es-ES"/>
        </w:rPr>
        <w:t xml:space="preserve">1. Se reconoce a los ciudadanos el derecho a relacionarse con las Administraciones Públicas utilizando medios electrónicos para el ejercicio de los derechos previstos en el </w:t>
      </w:r>
      <w:hyperlink r:id="rId5" w:anchor="a35" w:history="1">
        <w:r w:rsidRPr="00D103FE">
          <w:rPr>
            <w:rStyle w:val="Hipervnculo"/>
            <w:lang w:val="es-ES"/>
          </w:rPr>
          <w:t>artículo 35 de la Ley 30/1992, de 26 de noviembre, de Régimen Jurídico de las Administraciones Públicas y del Procedimiento Administrativo Común</w:t>
        </w:r>
      </w:hyperlink>
      <w:r w:rsidRPr="00D103FE">
        <w:rPr>
          <w:lang w:val="es-ES"/>
        </w:rPr>
        <w:t>, así como para obtener informaciones, realizar consultas y alegaciones, formular solicitudes, manifestar consentimiento, entablar pretensiones, efectuar pagos, realizar transacciones y oponerse a las resoluciones y actos administrativos.</w:t>
      </w:r>
    </w:p>
    <w:p w:rsidR="00D103FE" w:rsidRPr="00D103FE" w:rsidRDefault="00D103FE" w:rsidP="00D103FE">
      <w:pPr>
        <w:pStyle w:val="NormalWeb"/>
        <w:rPr>
          <w:lang w:val="es-ES"/>
        </w:rPr>
      </w:pPr>
      <w:r w:rsidRPr="00D103FE">
        <w:rPr>
          <w:lang w:val="es-ES"/>
        </w:rPr>
        <w:t>2. Además, los ciudadanos tienen en relación con la utilización de los medios electrónicos en la actividad administrativa, y en los términos previstos en la presente Ley, los siguientes derechos:</w:t>
      </w:r>
    </w:p>
    <w:p w:rsidR="00D103FE" w:rsidRPr="00D103FE" w:rsidRDefault="00D103FE" w:rsidP="00D103FE">
      <w:pPr>
        <w:pStyle w:val="NormalWeb"/>
        <w:numPr>
          <w:ilvl w:val="0"/>
          <w:numId w:val="1"/>
        </w:numPr>
        <w:rPr>
          <w:lang w:val="es-ES"/>
        </w:rPr>
      </w:pPr>
      <w:r w:rsidRPr="00D103FE">
        <w:rPr>
          <w:lang w:val="es-ES"/>
        </w:rPr>
        <w:t>A elegir, entre aquellos que en cada momento se encuentren disponibles, el canal a través del cual relacionarse por medios electrónicos con las Administraciones Públicas.</w:t>
      </w:r>
    </w:p>
    <w:p w:rsidR="00D103FE" w:rsidRPr="00D103FE" w:rsidRDefault="00D103FE" w:rsidP="00D103FE">
      <w:pPr>
        <w:pStyle w:val="NormalWeb"/>
        <w:numPr>
          <w:ilvl w:val="0"/>
          <w:numId w:val="1"/>
        </w:numPr>
        <w:rPr>
          <w:lang w:val="es-ES"/>
        </w:rPr>
      </w:pPr>
      <w:r w:rsidRPr="00D103FE">
        <w:rPr>
          <w:lang w:val="es-ES"/>
        </w:rPr>
        <w:t xml:space="preserve">A no aportar los datos y documentos que obren en poder de las Administraciones Públicas, las cuales utilizarán medios electrónicos para recabar dicha información siempre que, en el caso de datos de carácter personal, se cuente con el consentimiento de los interesados en los términos establecidos por la </w:t>
      </w:r>
      <w:hyperlink r:id="rId6" w:history="1">
        <w:r w:rsidRPr="00D103FE">
          <w:rPr>
            <w:rStyle w:val="Hipervnculo"/>
            <w:lang w:val="es-ES"/>
          </w:rPr>
          <w:t>Ley Orgánica 15/1999, de Protección de Datos de Carácter Personal</w:t>
        </w:r>
      </w:hyperlink>
      <w:r w:rsidRPr="00D103FE">
        <w:rPr>
          <w:lang w:val="es-ES"/>
        </w:rPr>
        <w:t>, o una norma con rango de Ley así lo determine, salvo que existan restricciones conforme a la normativa de aplicación a los datos y documentos recabados. El citado consentimiento podrá emitirse y recabarse por medios electrónicos.</w:t>
      </w:r>
    </w:p>
    <w:p w:rsidR="00D103FE" w:rsidRPr="00D103FE" w:rsidRDefault="00D103FE" w:rsidP="00D103FE">
      <w:pPr>
        <w:pStyle w:val="NormalWeb"/>
        <w:numPr>
          <w:ilvl w:val="0"/>
          <w:numId w:val="1"/>
        </w:numPr>
        <w:rPr>
          <w:lang w:val="es-ES"/>
        </w:rPr>
      </w:pPr>
      <w:r w:rsidRPr="00D103FE">
        <w:rPr>
          <w:lang w:val="es-ES"/>
        </w:rPr>
        <w:t>A la igualdad en el acceso electrónico a los servicios de las Administraciones Públicas.</w:t>
      </w:r>
    </w:p>
    <w:p w:rsidR="00D103FE" w:rsidRPr="00D103FE" w:rsidRDefault="00D103FE" w:rsidP="00D103FE">
      <w:pPr>
        <w:pStyle w:val="NormalWeb"/>
        <w:numPr>
          <w:ilvl w:val="0"/>
          <w:numId w:val="1"/>
        </w:numPr>
        <w:rPr>
          <w:lang w:val="es-ES"/>
        </w:rPr>
      </w:pPr>
      <w:r w:rsidRPr="00D103FE">
        <w:rPr>
          <w:lang w:val="es-ES"/>
        </w:rPr>
        <w:t>A conocer por medios electrónicos el estado de tramitación de los procedimientos en los que sean interesados, salvo en los supuestos en que la normativa de aplicación establezca restricciones al acceso a la información sobre aquéllos.</w:t>
      </w:r>
    </w:p>
    <w:p w:rsidR="00D103FE" w:rsidRPr="00D103FE" w:rsidRDefault="00D103FE" w:rsidP="00D103FE">
      <w:pPr>
        <w:pStyle w:val="NormalWeb"/>
        <w:numPr>
          <w:ilvl w:val="0"/>
          <w:numId w:val="1"/>
        </w:numPr>
        <w:rPr>
          <w:lang w:val="es-ES"/>
        </w:rPr>
      </w:pPr>
      <w:r w:rsidRPr="00D103FE">
        <w:rPr>
          <w:lang w:val="es-ES"/>
        </w:rPr>
        <w:t>A obtener copias electrónicas de los documentos electrónicos que formen parte de procedimientos en los que tengan la condición de interesado.</w:t>
      </w:r>
    </w:p>
    <w:p w:rsidR="00D103FE" w:rsidRPr="00D103FE" w:rsidRDefault="00D103FE" w:rsidP="00D103FE">
      <w:pPr>
        <w:pStyle w:val="NormalWeb"/>
        <w:numPr>
          <w:ilvl w:val="0"/>
          <w:numId w:val="1"/>
        </w:numPr>
        <w:rPr>
          <w:lang w:val="es-ES"/>
        </w:rPr>
      </w:pPr>
      <w:r w:rsidRPr="00D103FE">
        <w:rPr>
          <w:lang w:val="es-ES"/>
        </w:rPr>
        <w:t>A la conservación en formato electrónico por las Administraciones Públicas de los documentos electrónicos que formen parte de un expediente.</w:t>
      </w:r>
    </w:p>
    <w:p w:rsidR="00D103FE" w:rsidRPr="00D103FE" w:rsidRDefault="00D103FE" w:rsidP="00D103FE">
      <w:pPr>
        <w:pStyle w:val="NormalWeb"/>
        <w:numPr>
          <w:ilvl w:val="0"/>
          <w:numId w:val="1"/>
        </w:numPr>
        <w:rPr>
          <w:lang w:val="es-ES"/>
        </w:rPr>
      </w:pPr>
      <w:r w:rsidRPr="00D103FE">
        <w:rPr>
          <w:lang w:val="es-ES"/>
        </w:rPr>
        <w:t>A obtener los medios de identificación electrónica necesarios, pudiendo las personas físicas utilizar en todo caso los sistemas de firma electrónica del Documento Nacional de Identidad para cualquier trámite electrónico con cualquier Administración Pública.</w:t>
      </w:r>
    </w:p>
    <w:p w:rsidR="00D103FE" w:rsidRPr="00D103FE" w:rsidRDefault="00D103FE" w:rsidP="00D103FE">
      <w:pPr>
        <w:pStyle w:val="NormalWeb"/>
        <w:numPr>
          <w:ilvl w:val="0"/>
          <w:numId w:val="1"/>
        </w:numPr>
        <w:rPr>
          <w:lang w:val="es-ES"/>
        </w:rPr>
      </w:pPr>
      <w:r w:rsidRPr="00D103FE">
        <w:rPr>
          <w:lang w:val="es-ES"/>
        </w:rPr>
        <w:t>A la utilización de otros sistemas de firma electrónica admitidos en el ámbito de las Administraciones Públicas.</w:t>
      </w:r>
    </w:p>
    <w:p w:rsidR="00D103FE" w:rsidRPr="00D103FE" w:rsidRDefault="00D103FE" w:rsidP="00D103FE">
      <w:pPr>
        <w:pStyle w:val="NormalWeb"/>
        <w:numPr>
          <w:ilvl w:val="0"/>
          <w:numId w:val="1"/>
        </w:numPr>
        <w:rPr>
          <w:lang w:val="es-ES"/>
        </w:rPr>
      </w:pPr>
      <w:r w:rsidRPr="00D103FE">
        <w:rPr>
          <w:lang w:val="es-ES"/>
        </w:rPr>
        <w:t>A la garantía de la seguridad y confidencialidad de los datos que figuren en los ficheros, sistemas y aplicaciones de las Administraciones Públicas.</w:t>
      </w:r>
    </w:p>
    <w:p w:rsidR="00D103FE" w:rsidRPr="00D103FE" w:rsidRDefault="00D103FE" w:rsidP="00D103FE">
      <w:pPr>
        <w:pStyle w:val="NormalWeb"/>
        <w:numPr>
          <w:ilvl w:val="0"/>
          <w:numId w:val="1"/>
        </w:numPr>
        <w:rPr>
          <w:lang w:val="es-ES"/>
        </w:rPr>
      </w:pPr>
      <w:r w:rsidRPr="00D103FE">
        <w:rPr>
          <w:lang w:val="es-ES"/>
        </w:rPr>
        <w:t>A la calidad de los servicios públicos prestados por medios electrónicos.</w:t>
      </w:r>
    </w:p>
    <w:p w:rsidR="00D103FE" w:rsidRPr="00D103FE" w:rsidRDefault="00D103FE" w:rsidP="00D103FE">
      <w:pPr>
        <w:pStyle w:val="NormalWeb"/>
        <w:numPr>
          <w:ilvl w:val="0"/>
          <w:numId w:val="1"/>
        </w:numPr>
        <w:rPr>
          <w:lang w:val="es-ES"/>
        </w:rPr>
      </w:pPr>
      <w:r w:rsidRPr="00D103FE">
        <w:rPr>
          <w:lang w:val="es-ES"/>
        </w:rPr>
        <w:t>A elegir las aplicaciones o sistemas para relacionarse con las Administraciones Públicas siempre y cuando utilicen estándares abiertos o, en su caso, aquellos otros que sean de uso generalizado por los ciudadanos.</w:t>
      </w:r>
    </w:p>
    <w:p w:rsidR="00D103FE" w:rsidRPr="00D103FE" w:rsidRDefault="00D103FE" w:rsidP="00D103FE">
      <w:pPr>
        <w:pStyle w:val="NormalWeb"/>
        <w:rPr>
          <w:lang w:val="es-ES"/>
        </w:rPr>
      </w:pPr>
      <w:r w:rsidRPr="00D103FE">
        <w:rPr>
          <w:lang w:val="es-ES"/>
        </w:rPr>
        <w:t xml:space="preserve">3. </w:t>
      </w:r>
      <w:r>
        <w:rPr>
          <w:noProof/>
          <w:color w:val="4C6F99"/>
        </w:rPr>
        <w:drawing>
          <wp:inline distT="0" distB="0" distL="0" distR="0">
            <wp:extent cx="138430" cy="138430"/>
            <wp:effectExtent l="19050" t="0" r="0" b="0"/>
            <wp:docPr id="1" name="Imagen 1" descr="Redacción según Ley 25/2009, de 22 de diciemb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acción según Ley 25/2009, de 22 de diciembre.">
                      <a:hlinkClick r:id="rId7"/>
                    </pic:cNvPr>
                    <pic:cNvPicPr>
                      <a:picLocks noChangeAspect="1" noChangeArrowheads="1"/>
                    </pic:cNvPicPr>
                  </pic:nvPicPr>
                  <pic:blipFill>
                    <a:blip r:embed="rId8"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D103FE">
        <w:rPr>
          <w:lang w:val="es-ES"/>
        </w:rPr>
        <w:t>En particular, en los procedimientos relativos al acceso a una actividad de servicios y su ejercicio, los ciudadanos tienen derecho a la realización de la tramitación a través de una ventanilla única, por vía electrónica y a distancia, y a la obtención de la siguiente información a través de medios electrónicos, que deberá ser clara e inequívoca:</w:t>
      </w:r>
    </w:p>
    <w:p w:rsidR="00D103FE" w:rsidRPr="00D103FE" w:rsidRDefault="00D103FE" w:rsidP="00D103FE">
      <w:pPr>
        <w:pStyle w:val="NormalWeb"/>
        <w:numPr>
          <w:ilvl w:val="0"/>
          <w:numId w:val="2"/>
        </w:numPr>
        <w:rPr>
          <w:lang w:val="es-ES"/>
        </w:rPr>
      </w:pPr>
      <w:r w:rsidRPr="00D103FE">
        <w:rPr>
          <w:lang w:val="es-ES"/>
        </w:rPr>
        <w:t>Los requisitos aplicables a los prestadores establecidos en territorio español, en especial los relativos a los procedimientos y trámites necesarios para acceder a las actividades de servicio y para su ejercicio.</w:t>
      </w:r>
    </w:p>
    <w:p w:rsidR="00D103FE" w:rsidRPr="00D103FE" w:rsidRDefault="00D103FE" w:rsidP="00D103FE">
      <w:pPr>
        <w:pStyle w:val="NormalWeb"/>
        <w:numPr>
          <w:ilvl w:val="0"/>
          <w:numId w:val="2"/>
        </w:numPr>
        <w:rPr>
          <w:lang w:val="es-ES"/>
        </w:rPr>
      </w:pPr>
      <w:r w:rsidRPr="00D103FE">
        <w:rPr>
          <w:lang w:val="es-ES"/>
        </w:rPr>
        <w:t>Los datos de las autoridades competentes en las materias relacionadas con las actividades de servicios, así como los datos de las asociaciones y organizaciones distintas de las autoridades competentes a las que los prestadores o destinatarios puedan dirigirse para obtener asistencia o ayuda.</w:t>
      </w:r>
    </w:p>
    <w:p w:rsidR="00D103FE" w:rsidRPr="00D103FE" w:rsidRDefault="00D103FE" w:rsidP="00D103FE">
      <w:pPr>
        <w:pStyle w:val="NormalWeb"/>
        <w:numPr>
          <w:ilvl w:val="0"/>
          <w:numId w:val="2"/>
        </w:numPr>
        <w:rPr>
          <w:lang w:val="es-ES"/>
        </w:rPr>
      </w:pPr>
      <w:r w:rsidRPr="00D103FE">
        <w:rPr>
          <w:lang w:val="es-ES"/>
        </w:rPr>
        <w:t>Los medios y condiciones de acceso a los registros y bases de datos públicos relativos a prestadores de actividades de servicios.</w:t>
      </w:r>
    </w:p>
    <w:p w:rsidR="00D103FE" w:rsidRPr="00D103FE" w:rsidRDefault="00D103FE" w:rsidP="00D103FE">
      <w:pPr>
        <w:pStyle w:val="NormalWeb"/>
        <w:numPr>
          <w:ilvl w:val="0"/>
          <w:numId w:val="2"/>
        </w:numPr>
        <w:rPr>
          <w:lang w:val="es-ES"/>
        </w:rPr>
      </w:pPr>
      <w:r w:rsidRPr="00D103FE">
        <w:rPr>
          <w:lang w:val="es-ES"/>
        </w:rPr>
        <w:t>Las vías de reclamación y recurso en caso de litigio entre las autoridades competentes y el prestador o el destinatario, o entre un prestador y un destinatario, o entre prestadores.</w:t>
      </w:r>
    </w:p>
    <w:p w:rsidR="00D103FE" w:rsidRPr="00D103FE" w:rsidRDefault="00D103FE" w:rsidP="00D103FE">
      <w:pPr>
        <w:pStyle w:val="NormalWeb"/>
        <w:rPr>
          <w:lang w:val="es-ES"/>
        </w:rPr>
      </w:pPr>
      <w:bookmarkStart w:id="1" w:name="a7"/>
      <w:r w:rsidRPr="00D103FE">
        <w:rPr>
          <w:rStyle w:val="Textoennegrita"/>
          <w:color w:val="4C6F99"/>
          <w:lang w:val="es-ES"/>
        </w:rPr>
        <w:lastRenderedPageBreak/>
        <w:t>Artículo 7.</w:t>
      </w:r>
      <w:bookmarkEnd w:id="1"/>
      <w:r w:rsidRPr="00D103FE">
        <w:rPr>
          <w:lang w:val="es-ES"/>
        </w:rPr>
        <w:t xml:space="preserve"> Defensa de los derechos de los ciudadanos.</w:t>
      </w:r>
    </w:p>
    <w:p w:rsidR="00D103FE" w:rsidRPr="00D103FE" w:rsidRDefault="00D103FE" w:rsidP="00D103FE">
      <w:pPr>
        <w:pStyle w:val="NormalWeb"/>
        <w:rPr>
          <w:lang w:val="es-ES"/>
        </w:rPr>
      </w:pPr>
      <w:r w:rsidRPr="00D103FE">
        <w:rPr>
          <w:lang w:val="es-ES"/>
        </w:rPr>
        <w:t>1. En la Administración General del Estado, se crea la figura del Defensor del usuario de la administración electrónica, que velará por la garantía de los derechos reconocidos a los ciudadanos en la presente Ley, sin perjuicio de las competencias atribuidas en este ámbito a otros órganos o entidades de derecho público. Será nombrado por el Consejo de Ministros a propuesta del Ministro de Administraciones Públicas entre personas de reconocido prestigio en la materia. Estará integrado en el Ministerio de Administraciones Públicas y desarrollará sus funciones con imparcialidad e independencia funcional.</w:t>
      </w:r>
    </w:p>
    <w:p w:rsidR="00D103FE" w:rsidRPr="00D103FE" w:rsidRDefault="00D103FE" w:rsidP="00D103FE">
      <w:pPr>
        <w:pStyle w:val="NormalWeb"/>
        <w:rPr>
          <w:lang w:val="es-ES"/>
        </w:rPr>
      </w:pPr>
      <w:r w:rsidRPr="00D103FE">
        <w:rPr>
          <w:lang w:val="es-ES"/>
        </w:rPr>
        <w:t>2. El Defensor del usuario de la administración electrónica elaborará, con carácter anual, un informe que se elevará al Consejo de Ministros y se remitirá al Congreso de los Diputados. Dicho informe contendrá un análisis de las quejas y sugerencia recibidas así como la propuesta de las actuaciones y medidas a adoptar en relación con lo previsto en el apartado 1 de este artículo.</w:t>
      </w:r>
    </w:p>
    <w:p w:rsidR="00D103FE" w:rsidRPr="00D103FE" w:rsidRDefault="00D103FE" w:rsidP="00D103FE">
      <w:pPr>
        <w:pStyle w:val="NormalWeb"/>
        <w:rPr>
          <w:lang w:val="es-ES"/>
        </w:rPr>
      </w:pPr>
      <w:r w:rsidRPr="00D103FE">
        <w:rPr>
          <w:lang w:val="es-ES"/>
        </w:rPr>
        <w:t>3. Para el ejercicio de sus funciones, el Defensor del usuario de la administración electrónica contará con los recursos de la Administración General del Estado con la asistencia que, a tal efecto, le presten las Inspecciones Generales de los Servicios de los Departamentos ministeriales y la Inspección General de Servicios de la Administración Pública. En particular, las Inspecciones de los Servicios le asistirán en la elaboración del informe al que se refiere el apartado anterior y le mantendrán permanentemente informado de las quejas y sugerencias que se reciban en relación con la prestación de servicios públicos a través de medios electrónicos. A estos efectos, la Comisión Coordinadora de las Inspecciones generales de servicios de los departamentos ministeriales realizará, en este ámbito, las funciones de coordinación que tiene legalmente encomendadas.</w:t>
      </w:r>
    </w:p>
    <w:p w:rsidR="00D103FE" w:rsidRPr="00D103FE" w:rsidRDefault="00D103FE" w:rsidP="00D103FE">
      <w:pPr>
        <w:pStyle w:val="NormalWeb"/>
        <w:rPr>
          <w:lang w:val="es-ES"/>
        </w:rPr>
      </w:pPr>
      <w:r w:rsidRPr="00D103FE">
        <w:rPr>
          <w:lang w:val="es-ES"/>
        </w:rPr>
        <w:t>4. Reglamentariamente se determinará el estatuto del Defensor del usuario de la administración electrónica, así como la regulación de sus relaciones con los órganos a los que se refiere el apartado anterior de este artículo.</w:t>
      </w:r>
    </w:p>
    <w:p w:rsidR="00D103FE" w:rsidRPr="00D103FE" w:rsidRDefault="00D103FE" w:rsidP="00D103FE">
      <w:pPr>
        <w:pStyle w:val="NormalWeb"/>
        <w:rPr>
          <w:lang w:val="es-ES"/>
        </w:rPr>
      </w:pPr>
      <w:bookmarkStart w:id="2" w:name="a8"/>
      <w:r w:rsidRPr="00D103FE">
        <w:rPr>
          <w:rStyle w:val="Textoennegrita"/>
          <w:color w:val="4C6F99"/>
          <w:lang w:val="es-ES"/>
        </w:rPr>
        <w:t>Artículo 8.</w:t>
      </w:r>
      <w:bookmarkEnd w:id="2"/>
      <w:r w:rsidRPr="00D103FE">
        <w:rPr>
          <w:lang w:val="es-ES"/>
        </w:rPr>
        <w:t xml:space="preserve"> Garantía de prestación de servicios y disposición de medios e instrumentos electrónicos.</w:t>
      </w:r>
    </w:p>
    <w:p w:rsidR="00D103FE" w:rsidRPr="00D103FE" w:rsidRDefault="00D103FE" w:rsidP="00D103FE">
      <w:pPr>
        <w:pStyle w:val="NormalWeb"/>
        <w:rPr>
          <w:lang w:val="es-ES"/>
        </w:rPr>
      </w:pPr>
      <w:r w:rsidRPr="00D103FE">
        <w:rPr>
          <w:lang w:val="es-ES"/>
        </w:rPr>
        <w:t>1. Las Administraciones Públicas deberán habilitar diferentes canales o medios para la prestación de los servicios electrónicos, garantizando en todo caso el acceso a los mismos a todos los ciudadanos, con independencia de sus circunstancias personales, medios o conocimientos, en la forma que estimen adecuada.</w:t>
      </w:r>
    </w:p>
    <w:p w:rsidR="00D103FE" w:rsidRPr="00D103FE" w:rsidRDefault="00D103FE" w:rsidP="00D103FE">
      <w:pPr>
        <w:pStyle w:val="NormalWeb"/>
        <w:rPr>
          <w:lang w:val="es-ES"/>
        </w:rPr>
      </w:pPr>
      <w:r w:rsidRPr="00D103FE">
        <w:rPr>
          <w:lang w:val="es-ES"/>
        </w:rPr>
        <w:t>2. La Administración General del Estado garantizará el acceso de todos los ciudadanos a los servicios electrónicos proporcionados en su ámbito a través de un sistema de varios canales que cuente, al menos, con los siguientes medios:</w:t>
      </w:r>
    </w:p>
    <w:p w:rsidR="00D103FE" w:rsidRPr="00D103FE" w:rsidRDefault="00D103FE" w:rsidP="00D103FE">
      <w:pPr>
        <w:pStyle w:val="NormalWeb"/>
        <w:numPr>
          <w:ilvl w:val="0"/>
          <w:numId w:val="3"/>
        </w:numPr>
        <w:rPr>
          <w:lang w:val="es-ES"/>
        </w:rPr>
      </w:pPr>
      <w:r w:rsidRPr="00D103FE">
        <w:rPr>
          <w:lang w:val="es-ES"/>
        </w:rPr>
        <w:t xml:space="preserve">Las oficinas de atención presencial que se determinen, las cuales pondrán a disposición de los ciudadanos de forma libre y gratuita los medios e instrumentos precisos para ejercer los derechos reconocidos en el </w:t>
      </w:r>
      <w:hyperlink r:id="rId9" w:anchor="a6" w:history="1">
        <w:r w:rsidRPr="00D103FE">
          <w:rPr>
            <w:rStyle w:val="Hipervnculo"/>
            <w:lang w:val="es-ES"/>
          </w:rPr>
          <w:t>artículo 6 de esta Ley</w:t>
        </w:r>
      </w:hyperlink>
      <w:r w:rsidRPr="00D103FE">
        <w:rPr>
          <w:lang w:val="es-ES"/>
        </w:rPr>
        <w:t>, debiendo contar con asistencia y orientación sobre su utilización, bien a cargo del personal de las oficinas en que se ubiquen o bien por sistemas incorporados al propio medio o instrumento.</w:t>
      </w:r>
    </w:p>
    <w:p w:rsidR="00D103FE" w:rsidRPr="00D103FE" w:rsidRDefault="00D103FE" w:rsidP="00D103FE">
      <w:pPr>
        <w:pStyle w:val="NormalWeb"/>
        <w:numPr>
          <w:ilvl w:val="0"/>
          <w:numId w:val="3"/>
        </w:numPr>
        <w:rPr>
          <w:lang w:val="es-ES"/>
        </w:rPr>
      </w:pPr>
      <w:r w:rsidRPr="00D103FE">
        <w:rPr>
          <w:lang w:val="es-ES"/>
        </w:rPr>
        <w:t>Puntos de acceso electrónico, consistentes en sedes electrónicas creadas y gestionadas por los departamentos y organismos públicos y disponibles para los ciudadanos a través de redes de comunicación. En particular se creará un Punto de acceso general a través del cual los ciudadanos puedan, en sus relaciones con la Administración General del Estado y sus Organismos Públicos, acceder a toda la información y a los servicios disponibles. Este Punto de acceso general contendrá la relación de servicios a disposición de los ciudadanos y el acceso a los mismos, debiendo mantenerse coordinado, al menos, con los restantes puntos de acceso electrónico de la Administración General del Estado y sus Organismos Públicos.</w:t>
      </w:r>
    </w:p>
    <w:p w:rsidR="00D103FE" w:rsidRPr="00D103FE" w:rsidRDefault="00D103FE" w:rsidP="00D103FE">
      <w:pPr>
        <w:pStyle w:val="NormalWeb"/>
        <w:numPr>
          <w:ilvl w:val="0"/>
          <w:numId w:val="3"/>
        </w:numPr>
        <w:rPr>
          <w:lang w:val="es-ES"/>
        </w:rPr>
      </w:pPr>
      <w:r w:rsidRPr="00D103FE">
        <w:rPr>
          <w:lang w:val="es-ES"/>
        </w:rPr>
        <w:t>Servicios de atención telefónica que, en la medida en que los criterios de seguridad y las posibilidades técnicas lo permitan, faciliten a los ciudadanos el acceso a las informaciones y servicios electrónicos a los que se refieren los apartados anteriores.</w:t>
      </w:r>
    </w:p>
    <w:p w:rsidR="00D103FE" w:rsidRPr="00D103FE" w:rsidRDefault="00D103FE" w:rsidP="00D103FE">
      <w:pPr>
        <w:pStyle w:val="NormalWeb"/>
        <w:rPr>
          <w:lang w:val="es-ES"/>
        </w:rPr>
      </w:pPr>
      <w:bookmarkStart w:id="3" w:name="a9"/>
      <w:r w:rsidRPr="00D103FE">
        <w:rPr>
          <w:rStyle w:val="Textoennegrita"/>
          <w:color w:val="4C6F99"/>
          <w:lang w:val="es-ES"/>
        </w:rPr>
        <w:lastRenderedPageBreak/>
        <w:t>Artículo 9.</w:t>
      </w:r>
      <w:bookmarkEnd w:id="3"/>
      <w:r w:rsidRPr="00D103FE">
        <w:rPr>
          <w:lang w:val="es-ES"/>
        </w:rPr>
        <w:t xml:space="preserve"> Transmisiones de datos entre Administraciones Públicas.</w:t>
      </w:r>
    </w:p>
    <w:p w:rsidR="00D103FE" w:rsidRPr="00D103FE" w:rsidRDefault="00D103FE" w:rsidP="00D103FE">
      <w:pPr>
        <w:pStyle w:val="NormalWeb"/>
        <w:rPr>
          <w:lang w:val="es-ES"/>
        </w:rPr>
      </w:pPr>
      <w:r w:rsidRPr="00D103FE">
        <w:rPr>
          <w:lang w:val="es-ES"/>
        </w:rPr>
        <w:t xml:space="preserve">1. Para un eficaz ejercicio del derecho reconocido en el apartado 6.2.b, cada Administración deberá facilitar el acceso de las restantes Administraciones Públicas a los datos relativos a </w:t>
      </w:r>
      <w:proofErr w:type="gramStart"/>
      <w:r w:rsidRPr="00D103FE">
        <w:rPr>
          <w:lang w:val="es-ES"/>
        </w:rPr>
        <w:t>los</w:t>
      </w:r>
      <w:proofErr w:type="gramEnd"/>
      <w:r w:rsidRPr="00D103FE">
        <w:rPr>
          <w:lang w:val="es-ES"/>
        </w:rPr>
        <w:t xml:space="preserve"> interesados que obren en su poder y se encuentren en soporte electrónico, especificando las condiciones, protocolos y criterios funcionales o técnicos necesarios para acceder a dichos datos con las máximas garantías de seguridad, integridad y disponibilidad, de conformidad con lo dispuesto en la </w:t>
      </w:r>
      <w:hyperlink r:id="rId10" w:history="1">
        <w:r w:rsidRPr="00D103FE">
          <w:rPr>
            <w:rStyle w:val="Hipervnculo"/>
            <w:lang w:val="es-ES"/>
          </w:rPr>
          <w:t>Ley Orgánica 15/1999, de 13 de diciembre, de Protección de Datos de Carácter Personal</w:t>
        </w:r>
      </w:hyperlink>
      <w:r w:rsidRPr="00D103FE">
        <w:rPr>
          <w:lang w:val="es-ES"/>
        </w:rPr>
        <w:t xml:space="preserve"> y su normativa de desarrollo.</w:t>
      </w:r>
    </w:p>
    <w:p w:rsidR="00D103FE" w:rsidRPr="00D103FE" w:rsidRDefault="00D103FE" w:rsidP="00D103FE">
      <w:pPr>
        <w:pStyle w:val="NormalWeb"/>
        <w:rPr>
          <w:lang w:val="es-ES"/>
        </w:rPr>
      </w:pPr>
      <w:r w:rsidRPr="00D103FE">
        <w:rPr>
          <w:lang w:val="es-ES"/>
        </w:rPr>
        <w:t xml:space="preserve">2. La disponibilidad de tales datos estará limitada estrictamente a aquellos que son requeridos a los ciudadanos por las restantes Administraciones para la tramitación y resolución de los procedimientos y actuaciones de su competencia de acuerdo con la normativa reguladora de los mismos. El acceso a los datos de carácter personal estará, además, condicionado al cumplimiento de las condiciones establecidas en el </w:t>
      </w:r>
      <w:hyperlink r:id="rId11" w:anchor="a6" w:history="1">
        <w:r w:rsidRPr="00D103FE">
          <w:rPr>
            <w:rStyle w:val="Hipervnculo"/>
            <w:lang w:val="es-ES"/>
          </w:rPr>
          <w:t>artículo 6.2.b de la presente Ley.</w:t>
        </w:r>
      </w:hyperlink>
    </w:p>
    <w:p w:rsidR="00D103FE" w:rsidRDefault="00D103FE"/>
    <w:sectPr w:rsidR="00D103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D13"/>
    <w:multiLevelType w:val="multilevel"/>
    <w:tmpl w:val="F15CE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7C92566"/>
    <w:multiLevelType w:val="multilevel"/>
    <w:tmpl w:val="E5384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88C575B"/>
    <w:multiLevelType w:val="multilevel"/>
    <w:tmpl w:val="1B0AD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characterSpacingControl w:val="doNotCompress"/>
  <w:compat/>
  <w:rsids>
    <w:rsidRoot w:val="00D103FE"/>
    <w:rsid w:val="00D10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uiPriority w:val="99"/>
    <w:unhideWhenUsed/>
    <w:rsid w:val="00D103FE"/>
    <w:rPr>
      <w:strike w:val="0"/>
      <w:dstrike w:val="0"/>
      <w:color w:val="4C6F99"/>
      <w:u w:val="none"/>
      <w:effect w:val="none"/>
    </w:rPr>
  </w:style>
  <w:style w:type="paragraph" w:styleId="NormalWeb">
    <w:name w:val="Normal (Web)"/>
    <w:basedOn w:val="Normal"/>
    <w:uiPriority w:val="99"/>
    <w:unhideWhenUsed/>
    <w:rsid w:val="00D103FE"/>
    <w:pPr>
      <w:spacing w:before="100" w:beforeAutospacing="1" w:after="100" w:afterAutospacing="1"/>
      <w:jc w:val="both"/>
    </w:pPr>
    <w:rPr>
      <w:rFonts w:ascii="Verdana" w:hAnsi="Verdana"/>
      <w:sz w:val="18"/>
      <w:szCs w:val="18"/>
      <w:lang w:val="en-US" w:eastAsia="en-US"/>
    </w:rPr>
  </w:style>
  <w:style w:type="character" w:styleId="Textoennegrita">
    <w:name w:val="Strong"/>
    <w:basedOn w:val="Fuentedeprrafopredeter"/>
    <w:uiPriority w:val="22"/>
    <w:qFormat/>
    <w:rsid w:val="00D103FE"/>
    <w:rPr>
      <w:b/>
      <w:bCs/>
    </w:rPr>
  </w:style>
  <w:style w:type="paragraph" w:styleId="Textodeglobo">
    <w:name w:val="Balloon Text"/>
    <w:basedOn w:val="Normal"/>
    <w:link w:val="TextodegloboCar"/>
    <w:rsid w:val="00D103FE"/>
    <w:rPr>
      <w:rFonts w:ascii="Tahoma" w:hAnsi="Tahoma" w:cs="Tahoma"/>
      <w:sz w:val="16"/>
      <w:szCs w:val="16"/>
    </w:rPr>
  </w:style>
  <w:style w:type="character" w:customStyle="1" w:styleId="TextodegloboCar">
    <w:name w:val="Texto de globo Car"/>
    <w:basedOn w:val="Fuentedeprrafopredeter"/>
    <w:link w:val="Textodeglobo"/>
    <w:rsid w:val="00D103FE"/>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930574247">
      <w:bodyDiv w:val="1"/>
      <w:marLeft w:val="201"/>
      <w:marRight w:val="2344"/>
      <w:marTop w:val="3633"/>
      <w:marBottom w:val="586"/>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ticias.juridicas.com/base_datos/Admin/l11-2007.t4.html#balloon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icias.juridicas.com/base_datos/Admin/lo15-1999.html" TargetMode="External"/><Relationship Id="rId11" Type="http://schemas.openxmlformats.org/officeDocument/2006/relationships/hyperlink" Target="http://noticias.juridicas.com/base_datos/Admin/l11-2007.t1.html" TargetMode="External"/><Relationship Id="rId5" Type="http://schemas.openxmlformats.org/officeDocument/2006/relationships/hyperlink" Target="http://noticias.juridicas.com/base_datos/Admin/l30-1992.t4.html" TargetMode="External"/><Relationship Id="rId10" Type="http://schemas.openxmlformats.org/officeDocument/2006/relationships/hyperlink" Target="http://noticias.juridicas.com/base_datos/Admin/lo15-1999.html" TargetMode="External"/><Relationship Id="rId4" Type="http://schemas.openxmlformats.org/officeDocument/2006/relationships/webSettings" Target="webSettings.xml"/><Relationship Id="rId9" Type="http://schemas.openxmlformats.org/officeDocument/2006/relationships/hyperlink" Target="http://noticias.juridicas.com/base_datos/Admin/l11-2007.t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1449</Words>
  <Characters>8429</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poltapro</dc:creator>
  <cp:keywords/>
  <dc:description/>
  <cp:lastModifiedBy>poltapro</cp:lastModifiedBy>
  <cp:revision>1</cp:revision>
  <dcterms:created xsi:type="dcterms:W3CDTF">2010-12-14T13:33:00Z</dcterms:created>
  <dcterms:modified xsi:type="dcterms:W3CDTF">2010-12-14T13:44:00Z</dcterms:modified>
</cp:coreProperties>
</file>